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A1E72" w14:textId="77777777" w:rsidR="00125811" w:rsidRPr="00812C68" w:rsidRDefault="00000000" w:rsidP="00812C68">
      <w:pPr>
        <w:pStyle w:val="CustomTitle"/>
        <w:rPr>
          <w:rFonts w:cs="Times New Roman"/>
          <w:color w:val="000000" w:themeColor="text1"/>
          <w:sz w:val="24"/>
          <w:szCs w:val="24"/>
          <w:lang w:val="ru-RU"/>
        </w:rPr>
      </w:pPr>
      <w:r w:rsidRPr="00812C68">
        <w:rPr>
          <w:rFonts w:cs="Times New Roman"/>
          <w:color w:val="000000" w:themeColor="text1"/>
          <w:sz w:val="24"/>
          <w:szCs w:val="24"/>
          <w:lang w:val="ru-RU"/>
        </w:rPr>
        <w:t>ПРЕДЛОЖЕНИЯ</w:t>
      </w:r>
    </w:p>
    <w:p w14:paraId="5C4EC1C5" w14:textId="66697BEE" w:rsidR="00125811" w:rsidRPr="00812C68" w:rsidRDefault="00000000" w:rsidP="00812C68">
      <w:pPr>
        <w:pStyle w:val="CustomSubtitle"/>
        <w:rPr>
          <w:rFonts w:cs="Times New Roman"/>
          <w:b/>
          <w:bCs/>
          <w:color w:val="000000" w:themeColor="text1"/>
          <w:szCs w:val="24"/>
          <w:lang w:val="ru-RU"/>
        </w:rPr>
      </w:pPr>
      <w:r w:rsidRPr="00812C68">
        <w:rPr>
          <w:rFonts w:cs="Times New Roman"/>
          <w:b/>
          <w:bCs/>
          <w:color w:val="000000" w:themeColor="text1"/>
          <w:szCs w:val="24"/>
          <w:lang w:val="ru-RU"/>
        </w:rPr>
        <w:t>Национальной ассоциации инвесторов в сфере образования</w:t>
      </w:r>
      <w:r w:rsidR="00812C68" w:rsidRPr="00812C68">
        <w:rPr>
          <w:rFonts w:cs="Times New Roman"/>
          <w:b/>
          <w:bCs/>
          <w:color w:val="000000" w:themeColor="text1"/>
          <w:szCs w:val="24"/>
          <w:lang w:val="ru-RU"/>
        </w:rPr>
        <w:t xml:space="preserve"> “</w:t>
      </w:r>
      <w:proofErr w:type="spellStart"/>
      <w:r w:rsidR="00812C68" w:rsidRPr="00812C68">
        <w:rPr>
          <w:rFonts w:cs="Times New Roman"/>
          <w:b/>
          <w:bCs/>
          <w:color w:val="000000" w:themeColor="text1"/>
          <w:szCs w:val="24"/>
        </w:rPr>
        <w:t>BilimInvest</w:t>
      </w:r>
      <w:proofErr w:type="spellEnd"/>
      <w:r w:rsidR="00812C68" w:rsidRPr="00812C68">
        <w:rPr>
          <w:rFonts w:cs="Times New Roman"/>
          <w:b/>
          <w:bCs/>
          <w:color w:val="000000" w:themeColor="text1"/>
          <w:szCs w:val="24"/>
          <w:lang w:val="ru-RU"/>
        </w:rPr>
        <w:t>”</w:t>
      </w:r>
    </w:p>
    <w:p w14:paraId="64266E56" w14:textId="2C510B45" w:rsidR="00125811" w:rsidRPr="00812C68" w:rsidRDefault="00000000" w:rsidP="00812C68">
      <w:pPr>
        <w:pStyle w:val="CustomSubtitle"/>
        <w:rPr>
          <w:rFonts w:cs="Times New Roman"/>
          <w:color w:val="000000" w:themeColor="text1"/>
          <w:szCs w:val="24"/>
          <w:lang w:val="ru-RU"/>
        </w:rPr>
      </w:pPr>
      <w:r w:rsidRPr="00812C68">
        <w:rPr>
          <w:rFonts w:cs="Times New Roman"/>
          <w:color w:val="000000" w:themeColor="text1"/>
          <w:szCs w:val="24"/>
          <w:lang w:val="ru-RU"/>
        </w:rPr>
        <w:t>к проекту Концепции развития конкуренции</w:t>
      </w:r>
      <w:r w:rsidR="00812C68" w:rsidRPr="00812C68">
        <w:rPr>
          <w:rFonts w:cs="Times New Roman"/>
          <w:color w:val="000000" w:themeColor="text1"/>
          <w:szCs w:val="24"/>
          <w:lang w:val="ru-RU"/>
        </w:rPr>
        <w:t xml:space="preserve"> </w:t>
      </w:r>
      <w:r w:rsidRPr="00812C68">
        <w:rPr>
          <w:rFonts w:cs="Times New Roman"/>
          <w:color w:val="000000" w:themeColor="text1"/>
          <w:szCs w:val="24"/>
          <w:lang w:val="ru-RU"/>
        </w:rPr>
        <w:t>в сфере образования Республики Казахстан на 2027</w:t>
      </w:r>
      <w:r w:rsidR="00812C68" w:rsidRPr="00812C68">
        <w:rPr>
          <w:rFonts w:cs="Times New Roman"/>
          <w:color w:val="000000" w:themeColor="text1"/>
          <w:szCs w:val="24"/>
          <w:lang w:val="ru-RU"/>
        </w:rPr>
        <w:t>-</w:t>
      </w:r>
      <w:r w:rsidRPr="00812C68">
        <w:rPr>
          <w:rFonts w:cs="Times New Roman"/>
          <w:color w:val="000000" w:themeColor="text1"/>
          <w:szCs w:val="24"/>
          <w:lang w:val="ru-RU"/>
        </w:rPr>
        <w:t>2031 годы</w:t>
      </w:r>
    </w:p>
    <w:p w14:paraId="59C2D3D3" w14:textId="7A498CE4" w:rsidR="00125811" w:rsidRPr="00812C68" w:rsidRDefault="00125811" w:rsidP="00812C68">
      <w:pPr>
        <w:pStyle w:val="MetaStyle"/>
        <w:jc w:val="both"/>
        <w:rPr>
          <w:rFonts w:cs="Times New Roman"/>
          <w:color w:val="000000" w:themeColor="text1"/>
          <w:sz w:val="24"/>
          <w:szCs w:val="24"/>
          <w:lang w:val="ru-RU"/>
        </w:rPr>
      </w:pPr>
    </w:p>
    <w:p w14:paraId="0DCB1ABC" w14:textId="3788AEE2" w:rsidR="00125811" w:rsidRPr="005F18D5" w:rsidRDefault="00812C68" w:rsidP="00812C68">
      <w:pPr>
        <w:pStyle w:val="MetaStyle"/>
        <w:jc w:val="both"/>
        <w:rPr>
          <w:rFonts w:cs="Times New Roman"/>
          <w:i w:val="0"/>
          <w:iCs/>
          <w:color w:val="000000" w:themeColor="text1"/>
          <w:sz w:val="24"/>
          <w:szCs w:val="24"/>
          <w:lang w:val="ru-RU"/>
        </w:rPr>
      </w:pPr>
      <w:r w:rsidRPr="00812C68">
        <w:rPr>
          <w:rFonts w:cs="Times New Roman"/>
          <w:b/>
          <w:i w:val="0"/>
          <w:iCs/>
          <w:color w:val="000000" w:themeColor="text1"/>
          <w:sz w:val="24"/>
          <w:szCs w:val="24"/>
          <w:lang w:val="ru-RU"/>
        </w:rPr>
        <w:t xml:space="preserve">Ключевая позиция Ассоциации. </w:t>
      </w:r>
      <w:r w:rsidRPr="00812C68">
        <w:rPr>
          <w:rFonts w:cs="Times New Roman"/>
          <w:i w:val="0"/>
          <w:iCs/>
          <w:color w:val="000000" w:themeColor="text1"/>
          <w:sz w:val="24"/>
          <w:szCs w:val="24"/>
          <w:lang w:val="ru-RU"/>
        </w:rPr>
        <w:t>Конкуренция в образовании нужна не ради самой конкуренции и не ради формального сокращения роли государства. Ее задача - повысить качество и доступность услуг, дать родителям и обучающимся реальный выбор, создать понятные условия для добросовестных инвесторов и обеспечить более эффективное использование бюджета. Поэтому Концепция должна не только описывать проблемы, но и закреплять понятные правила финансирования, доступа на рынок и цифровой прозрачности.</w:t>
      </w:r>
    </w:p>
    <w:p w14:paraId="43CD56DE" w14:textId="77777777" w:rsidR="00125811" w:rsidRPr="00812C68" w:rsidRDefault="00000000" w:rsidP="00812C68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12C6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1. Общая оценка проекта Концепции</w:t>
      </w:r>
    </w:p>
    <w:p w14:paraId="378A61CF" w14:textId="77777777" w:rsidR="00125811" w:rsidRPr="00812C68" w:rsidRDefault="00000000" w:rsidP="00812C68">
      <w:pPr>
        <w:rPr>
          <w:rFonts w:cs="Times New Roman"/>
          <w:color w:val="000000" w:themeColor="text1"/>
          <w:szCs w:val="24"/>
          <w:lang w:val="ru-RU"/>
        </w:rPr>
      </w:pPr>
      <w:r w:rsidRPr="00812C68">
        <w:rPr>
          <w:rFonts w:cs="Times New Roman"/>
          <w:color w:val="000000" w:themeColor="text1"/>
          <w:szCs w:val="24"/>
          <w:lang w:val="ru-RU"/>
        </w:rPr>
        <w:t>Ассоциация поддерживает подготовку отдельной Концепции развития конкуренции в сфере образования. В представленном проекте правильно обозначены основные ограничения рынка: высокая зависимость поставщиков от государственного заказа, доминирование государственных организаций в среднем образовании, ограниченный доступ частных организаций к мерам поддержки, административные барьеры, риски фаворитизма и концентрации цифровых решений.</w:t>
      </w:r>
    </w:p>
    <w:p w14:paraId="52D70FE6" w14:textId="77777777" w:rsidR="00125811" w:rsidRPr="00812C68" w:rsidRDefault="00000000" w:rsidP="00812C68">
      <w:pPr>
        <w:rPr>
          <w:rFonts w:cs="Times New Roman"/>
          <w:color w:val="000000" w:themeColor="text1"/>
          <w:szCs w:val="24"/>
          <w:lang w:val="ru-RU"/>
        </w:rPr>
      </w:pPr>
      <w:r w:rsidRPr="00812C68">
        <w:rPr>
          <w:rFonts w:cs="Times New Roman"/>
          <w:color w:val="000000" w:themeColor="text1"/>
          <w:szCs w:val="24"/>
          <w:lang w:val="ru-RU"/>
        </w:rPr>
        <w:t>Вместе с тем в нынешнем виде документ пока остается в основном аналитическим. Он описывает проблемы и правильные принципы, но не доводит их до уровня практического механизма. В Концепции пока не хватает трех вещей: четкой цели, конкретного плана реализации и измеримых результатов.</w:t>
      </w:r>
    </w:p>
    <w:p w14:paraId="1F89D242" w14:textId="42963AA2" w:rsidR="00125811" w:rsidRPr="00812C68" w:rsidRDefault="00000000" w:rsidP="00812C68">
      <w:pPr>
        <w:rPr>
          <w:rFonts w:cs="Times New Roman"/>
          <w:color w:val="000000" w:themeColor="text1"/>
          <w:szCs w:val="24"/>
          <w:lang w:val="ru-RU"/>
        </w:rPr>
      </w:pPr>
      <w:r w:rsidRPr="00812C68">
        <w:rPr>
          <w:rFonts w:cs="Times New Roman"/>
          <w:color w:val="000000" w:themeColor="text1"/>
          <w:szCs w:val="24"/>
          <w:lang w:val="ru-RU"/>
        </w:rPr>
        <w:t>Отдельно считаем необходимым обновить стратегические ссылки в тексте проекта. Для документа на 2027</w:t>
      </w:r>
      <w:r w:rsidR="004B66ED">
        <w:rPr>
          <w:rFonts w:cs="Times New Roman"/>
          <w:color w:val="000000" w:themeColor="text1"/>
          <w:szCs w:val="24"/>
          <w:lang w:val="ru-RU"/>
        </w:rPr>
        <w:t>-</w:t>
      </w:r>
      <w:r w:rsidRPr="00812C68">
        <w:rPr>
          <w:rFonts w:cs="Times New Roman"/>
          <w:color w:val="000000" w:themeColor="text1"/>
          <w:szCs w:val="24"/>
          <w:lang w:val="ru-RU"/>
        </w:rPr>
        <w:t>2031 годы следует опираться на действующие документы системы государственного планирования, а не на устаревшие ориентиры, связанные с Национальным планом развития до 2025 года и показателями «по итогам 2026 года».</w:t>
      </w:r>
    </w:p>
    <w:p w14:paraId="0553F071" w14:textId="77777777" w:rsidR="00125811" w:rsidRPr="00812C68" w:rsidRDefault="00000000" w:rsidP="00812C68">
      <w:pPr>
        <w:rPr>
          <w:rFonts w:cs="Times New Roman"/>
          <w:color w:val="000000" w:themeColor="text1"/>
          <w:szCs w:val="24"/>
          <w:lang w:val="ru-RU"/>
        </w:rPr>
      </w:pPr>
      <w:r w:rsidRPr="00812C68">
        <w:rPr>
          <w:rFonts w:cs="Times New Roman"/>
          <w:color w:val="000000" w:themeColor="text1"/>
          <w:szCs w:val="24"/>
          <w:lang w:val="ru-RU"/>
        </w:rPr>
        <w:t xml:space="preserve">Также желательно точнее определить предмет Концепции. Если документ фактически касается прежде всего дошкольного и среднего образования, это нужно честно отразить. Если же предполагается охват всей сферы образования, тогда необходимо отдельно раскрыть, как будут регулироваться конкуренция в дополнительном образовании, </w:t>
      </w:r>
      <w:proofErr w:type="spellStart"/>
      <w:r w:rsidRPr="00812C68">
        <w:rPr>
          <w:rFonts w:cs="Times New Roman"/>
          <w:color w:val="000000" w:themeColor="text1"/>
          <w:szCs w:val="24"/>
          <w:lang w:val="ru-RU"/>
        </w:rPr>
        <w:t>ТиПО</w:t>
      </w:r>
      <w:proofErr w:type="spellEnd"/>
      <w:r w:rsidRPr="00812C68">
        <w:rPr>
          <w:rFonts w:cs="Times New Roman"/>
          <w:color w:val="000000" w:themeColor="text1"/>
          <w:szCs w:val="24"/>
          <w:lang w:val="ru-RU"/>
        </w:rPr>
        <w:t>, инфраструктуре, цифровых сервисах и смежных сегментах.</w:t>
      </w:r>
    </w:p>
    <w:p w14:paraId="003BD6F4" w14:textId="77777777" w:rsidR="00125811" w:rsidRPr="00812C68" w:rsidRDefault="00000000" w:rsidP="00812C68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12C6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2. Важно отразить в Концепции уже начатые государством реформы</w:t>
      </w:r>
    </w:p>
    <w:p w14:paraId="12B1EF16" w14:textId="77777777" w:rsidR="00125811" w:rsidRPr="00812C68" w:rsidRDefault="00000000" w:rsidP="00812C68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12C6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2.1. Частные школы: опора на уже запущенный пилот через </w:t>
      </w:r>
      <w:proofErr w:type="spellStart"/>
      <w:r w:rsidRPr="00812C68">
        <w:rPr>
          <w:rFonts w:ascii="Times New Roman" w:hAnsi="Times New Roman" w:cs="Times New Roman"/>
          <w:color w:val="000000" w:themeColor="text1"/>
          <w:sz w:val="24"/>
          <w:szCs w:val="24"/>
        </w:rPr>
        <w:t>OrtaBilim</w:t>
      </w:r>
      <w:proofErr w:type="spellEnd"/>
      <w:r w:rsidRPr="00812C6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 </w:t>
      </w:r>
      <w:r w:rsidRPr="00812C68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812C6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‑</w:t>
      </w:r>
      <w:proofErr w:type="spellStart"/>
      <w:r w:rsidRPr="00812C68">
        <w:rPr>
          <w:rFonts w:ascii="Times New Roman" w:hAnsi="Times New Roman" w:cs="Times New Roman"/>
          <w:color w:val="000000" w:themeColor="text1"/>
          <w:sz w:val="24"/>
          <w:szCs w:val="24"/>
        </w:rPr>
        <w:t>Qazyna</w:t>
      </w:r>
      <w:proofErr w:type="spellEnd"/>
    </w:p>
    <w:p w14:paraId="4F2DEB6B" w14:textId="47CCBA2C" w:rsidR="00125811" w:rsidRPr="00812C68" w:rsidRDefault="00000000" w:rsidP="00812C68">
      <w:pPr>
        <w:rPr>
          <w:rFonts w:cs="Times New Roman"/>
          <w:color w:val="000000" w:themeColor="text1"/>
          <w:szCs w:val="24"/>
          <w:lang w:val="ru-RU"/>
        </w:rPr>
      </w:pPr>
      <w:r w:rsidRPr="00812C68">
        <w:rPr>
          <w:rFonts w:cs="Times New Roman"/>
          <w:color w:val="000000" w:themeColor="text1"/>
          <w:szCs w:val="24"/>
          <w:lang w:val="ru-RU"/>
        </w:rPr>
        <w:t>В Концепции важно писать не о создании новой системы прозрачности с нуля, а о завершении и закреплении уже начатой реформы. На 2025</w:t>
      </w:r>
      <w:r w:rsidR="004B66ED">
        <w:rPr>
          <w:rFonts w:cs="Times New Roman"/>
          <w:color w:val="000000" w:themeColor="text1"/>
          <w:szCs w:val="24"/>
          <w:lang w:val="ru-RU"/>
        </w:rPr>
        <w:t>-</w:t>
      </w:r>
      <w:r w:rsidRPr="00812C68">
        <w:rPr>
          <w:rFonts w:cs="Times New Roman"/>
          <w:color w:val="000000" w:themeColor="text1"/>
          <w:szCs w:val="24"/>
          <w:lang w:val="ru-RU"/>
        </w:rPr>
        <w:t xml:space="preserve">2026 учебный год в стране запущен пилот нового механизма размещения государственного образовательного заказа в частных школах. Он реализуется через сервис </w:t>
      </w:r>
      <w:proofErr w:type="spellStart"/>
      <w:r w:rsidRPr="00812C68">
        <w:rPr>
          <w:rFonts w:cs="Times New Roman"/>
          <w:color w:val="000000" w:themeColor="text1"/>
          <w:szCs w:val="24"/>
        </w:rPr>
        <w:t>OrtaBilim</w:t>
      </w:r>
      <w:proofErr w:type="spellEnd"/>
      <w:r w:rsidRPr="00812C68">
        <w:rPr>
          <w:rFonts w:cs="Times New Roman"/>
          <w:color w:val="000000" w:themeColor="text1"/>
          <w:szCs w:val="24"/>
          <w:lang w:val="ru-RU"/>
        </w:rPr>
        <w:t xml:space="preserve"> на платформе </w:t>
      </w:r>
      <w:r w:rsidRPr="00812C68">
        <w:rPr>
          <w:rFonts w:cs="Times New Roman"/>
          <w:color w:val="000000" w:themeColor="text1"/>
          <w:szCs w:val="24"/>
        </w:rPr>
        <w:t>e</w:t>
      </w:r>
      <w:r w:rsidRPr="00812C68">
        <w:rPr>
          <w:rFonts w:cs="Times New Roman"/>
          <w:color w:val="000000" w:themeColor="text1"/>
          <w:szCs w:val="24"/>
          <w:lang w:val="ru-RU"/>
        </w:rPr>
        <w:t>‑</w:t>
      </w:r>
      <w:proofErr w:type="spellStart"/>
      <w:r w:rsidRPr="00812C68">
        <w:rPr>
          <w:rFonts w:cs="Times New Roman"/>
          <w:color w:val="000000" w:themeColor="text1"/>
          <w:szCs w:val="24"/>
        </w:rPr>
        <w:t>Qazyna</w:t>
      </w:r>
      <w:proofErr w:type="spellEnd"/>
      <w:r w:rsidRPr="00812C68">
        <w:rPr>
          <w:rFonts w:cs="Times New Roman"/>
          <w:color w:val="000000" w:themeColor="text1"/>
          <w:szCs w:val="24"/>
          <w:lang w:val="ru-RU"/>
        </w:rPr>
        <w:t>.</w:t>
      </w:r>
    </w:p>
    <w:p w14:paraId="2FAD5A92" w14:textId="77777777" w:rsidR="00125811" w:rsidRPr="00812C68" w:rsidRDefault="00000000" w:rsidP="00812C68">
      <w:pPr>
        <w:rPr>
          <w:rFonts w:cs="Times New Roman"/>
          <w:color w:val="000000" w:themeColor="text1"/>
          <w:szCs w:val="24"/>
          <w:lang w:val="ru-RU"/>
        </w:rPr>
      </w:pPr>
      <w:r w:rsidRPr="00812C68">
        <w:rPr>
          <w:rFonts w:cs="Times New Roman"/>
          <w:color w:val="000000" w:themeColor="text1"/>
          <w:szCs w:val="24"/>
          <w:lang w:val="ru-RU"/>
        </w:rPr>
        <w:t xml:space="preserve">Практическая ценность этого пилота состоит в том, что финансирование переводится в единую цифровую среду. Через систему публикуются бюджеты и объявления, подаются заявки, заключаются договоры, принимаются акты оказанных услуг, а также проводится автоматическая сверка данных о школе, разрешительных документах и фактическом </w:t>
      </w:r>
      <w:r w:rsidRPr="00812C68">
        <w:rPr>
          <w:rFonts w:cs="Times New Roman"/>
          <w:color w:val="000000" w:themeColor="text1"/>
          <w:szCs w:val="24"/>
          <w:lang w:val="ru-RU"/>
        </w:rPr>
        <w:lastRenderedPageBreak/>
        <w:t>контингенте обучающихся. Для рынка это особенно важно, потому что одинаковые цифровые правила снижают риск ручных решений и делают процедуру более предсказуемой.</w:t>
      </w:r>
    </w:p>
    <w:p w14:paraId="287851E8" w14:textId="77777777" w:rsidR="00125811" w:rsidRPr="00812C68" w:rsidRDefault="00000000" w:rsidP="00812C68">
      <w:pPr>
        <w:rPr>
          <w:rFonts w:cs="Times New Roman"/>
          <w:color w:val="000000" w:themeColor="text1"/>
          <w:szCs w:val="24"/>
          <w:lang w:val="ru-RU"/>
        </w:rPr>
      </w:pPr>
      <w:r w:rsidRPr="00812C68">
        <w:rPr>
          <w:rFonts w:cs="Times New Roman"/>
          <w:color w:val="000000" w:themeColor="text1"/>
          <w:szCs w:val="24"/>
          <w:lang w:val="ru-RU"/>
        </w:rPr>
        <w:t>Кроме того, сервис уже содержит открытые реестры школ, организаций образования, лицензий, заявок на финансирование, договоров и актов, а также разделы со статистикой, аналитикой, картой и проверкой документов. Это означает, что государство уже движется в сторону прозрачного цифрового администрирования. Следовательно, в Концепции следует закрепить не абстрактную идею «повышения прозрачности», а прямую задачу: поэтапно превратить этот пилот в устойчивый единый стандарт работы по всей стране и обеспечить единые правила для всех регионов.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412"/>
      </w:tblGrid>
      <w:tr w:rsidR="00812C68" w:rsidRPr="005F18D5" w14:paraId="129E3DE6" w14:textId="77777777">
        <w:trPr>
          <w:jc w:val="center"/>
        </w:trPr>
        <w:tc>
          <w:tcPr>
            <w:tcW w:w="9412" w:type="dxa"/>
            <w:shd w:val="clear" w:color="auto" w:fill="F6F6F6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AEAF3F8" w14:textId="77777777" w:rsidR="00125811" w:rsidRPr="00812C68" w:rsidRDefault="00000000" w:rsidP="00812C68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812C68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 xml:space="preserve">Рекомендуемая формулировка для Концепции. </w:t>
            </w:r>
            <w:r w:rsidRPr="00812C68">
              <w:rPr>
                <w:rFonts w:cs="Times New Roman"/>
                <w:color w:val="000000" w:themeColor="text1"/>
                <w:szCs w:val="24"/>
                <w:lang w:val="ru-RU"/>
              </w:rPr>
              <w:t xml:space="preserve">При развитии конкуренции в среднем образовании необходимо опираться на уже внедряемый новый механизм размещения государственного образовательного заказа в частных школах, реализуемый через сервис </w:t>
            </w:r>
            <w:proofErr w:type="spellStart"/>
            <w:r w:rsidRPr="00812C68">
              <w:rPr>
                <w:rFonts w:cs="Times New Roman"/>
                <w:color w:val="000000" w:themeColor="text1"/>
                <w:szCs w:val="24"/>
              </w:rPr>
              <w:t>OrtaBilim</w:t>
            </w:r>
            <w:proofErr w:type="spellEnd"/>
            <w:r w:rsidRPr="00812C68">
              <w:rPr>
                <w:rFonts w:cs="Times New Roman"/>
                <w:color w:val="000000" w:themeColor="text1"/>
                <w:szCs w:val="24"/>
                <w:lang w:val="ru-RU"/>
              </w:rPr>
              <w:t xml:space="preserve"> на платформе </w:t>
            </w:r>
            <w:r w:rsidRPr="00812C68">
              <w:rPr>
                <w:rFonts w:cs="Times New Roman"/>
                <w:color w:val="000000" w:themeColor="text1"/>
                <w:szCs w:val="24"/>
              </w:rPr>
              <w:t>e</w:t>
            </w:r>
            <w:r w:rsidRPr="00812C68">
              <w:rPr>
                <w:rFonts w:cs="Times New Roman"/>
                <w:color w:val="000000" w:themeColor="text1"/>
                <w:szCs w:val="24"/>
                <w:lang w:val="ru-RU"/>
              </w:rPr>
              <w:t>‑</w:t>
            </w:r>
            <w:proofErr w:type="spellStart"/>
            <w:r w:rsidRPr="00812C68">
              <w:rPr>
                <w:rFonts w:cs="Times New Roman"/>
                <w:color w:val="000000" w:themeColor="text1"/>
                <w:szCs w:val="24"/>
              </w:rPr>
              <w:t>Qazyna</w:t>
            </w:r>
            <w:proofErr w:type="spellEnd"/>
            <w:r w:rsidRPr="00812C68">
              <w:rPr>
                <w:rFonts w:cs="Times New Roman"/>
                <w:color w:val="000000" w:themeColor="text1"/>
                <w:szCs w:val="24"/>
                <w:lang w:val="ru-RU"/>
              </w:rPr>
              <w:t>. Концепция должна предусматривать не создание параллельных процедур, а развитие и масштабирование уже запущенной цифровой системы как единой прозрачной среды, в которой открыто отражаются бюджеты, заявки, договоры, акты, сведения о школах, карта и аналитические данные.</w:t>
            </w:r>
          </w:p>
        </w:tc>
      </w:tr>
    </w:tbl>
    <w:p w14:paraId="5BB95AFF" w14:textId="77777777" w:rsidR="00125811" w:rsidRPr="00812C68" w:rsidRDefault="00125811" w:rsidP="00812C68">
      <w:pPr>
        <w:rPr>
          <w:rFonts w:cs="Times New Roman"/>
          <w:color w:val="000000" w:themeColor="text1"/>
          <w:szCs w:val="24"/>
          <w:lang w:val="ru-RU"/>
        </w:rPr>
      </w:pPr>
    </w:p>
    <w:p w14:paraId="70E4DC8C" w14:textId="77777777" w:rsidR="00125811" w:rsidRPr="00812C68" w:rsidRDefault="00000000" w:rsidP="00812C68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12C6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2.2. Детские сады: пилот ваучерного финансирования нужно описать как действующий механизм, а не как идею</w:t>
      </w:r>
    </w:p>
    <w:p w14:paraId="16EDE6FD" w14:textId="77777777" w:rsidR="00125811" w:rsidRPr="00812C68" w:rsidRDefault="00000000" w:rsidP="00812C68">
      <w:pPr>
        <w:rPr>
          <w:rFonts w:cs="Times New Roman"/>
          <w:color w:val="000000" w:themeColor="text1"/>
          <w:szCs w:val="24"/>
          <w:lang w:val="ru-RU"/>
        </w:rPr>
      </w:pPr>
      <w:r w:rsidRPr="00812C68">
        <w:rPr>
          <w:rFonts w:cs="Times New Roman"/>
          <w:color w:val="000000" w:themeColor="text1"/>
          <w:szCs w:val="24"/>
          <w:lang w:val="ru-RU"/>
        </w:rPr>
        <w:t>Такой же подход нужен по дошкольному образованию. В Концепции следует прямо указать, что государство уже перешло к практической апробации модели «деньги следуют за ребенком». Пилотный проект по ваучерному финансированию детских садов продлен до 1 июля 2026 года и уже реализуется в ряде городов и районов.</w:t>
      </w:r>
    </w:p>
    <w:p w14:paraId="3FC3429D" w14:textId="77777777" w:rsidR="00125811" w:rsidRPr="00812C68" w:rsidRDefault="00000000" w:rsidP="00812C68">
      <w:pPr>
        <w:rPr>
          <w:rFonts w:cs="Times New Roman"/>
          <w:color w:val="000000" w:themeColor="text1"/>
          <w:szCs w:val="24"/>
          <w:lang w:val="ru-RU"/>
        </w:rPr>
      </w:pPr>
      <w:r w:rsidRPr="00812C68">
        <w:rPr>
          <w:rFonts w:cs="Times New Roman"/>
          <w:color w:val="000000" w:themeColor="text1"/>
          <w:szCs w:val="24"/>
          <w:lang w:val="ru-RU"/>
        </w:rPr>
        <w:t>Важно показать, что этот пилот делает на практике. Он не просто меняет способ оплаты. Он меняет саму логику системы: родитель получает больше свободы выбора, очередь становится прозрачнее, финансирование привязывается к ребенку и фактическому посещению, снижаются риски приписок и необоснованных расходов, а у государственных и частных дошкольных организаций появляется стимул конкурировать за качество услуги.</w:t>
      </w:r>
    </w:p>
    <w:p w14:paraId="40DF5E8C" w14:textId="77777777" w:rsidR="00125811" w:rsidRPr="00812C68" w:rsidRDefault="00000000" w:rsidP="00812C68">
      <w:pPr>
        <w:rPr>
          <w:rFonts w:cs="Times New Roman"/>
          <w:color w:val="000000" w:themeColor="text1"/>
          <w:szCs w:val="24"/>
          <w:lang w:val="ru-RU"/>
        </w:rPr>
      </w:pPr>
      <w:r w:rsidRPr="00812C68">
        <w:rPr>
          <w:rFonts w:cs="Times New Roman"/>
          <w:color w:val="000000" w:themeColor="text1"/>
          <w:szCs w:val="24"/>
          <w:lang w:val="ru-RU"/>
        </w:rPr>
        <w:t>Поэтому Концепция должна не заново предлагать ваучерную модель как теоретическую меру, а закрепить задачи следующего этапа: единые правила масштабирования, понятные критерии включения организаций в систему, сопоставимые требования к государственным и частным поставщикам, прозрачный цифровой учет и регулярную оценку результатов пилота.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412"/>
      </w:tblGrid>
      <w:tr w:rsidR="00812C68" w:rsidRPr="005F18D5" w14:paraId="73E48B63" w14:textId="77777777">
        <w:trPr>
          <w:jc w:val="center"/>
        </w:trPr>
        <w:tc>
          <w:tcPr>
            <w:tcW w:w="9412" w:type="dxa"/>
            <w:shd w:val="clear" w:color="auto" w:fill="F6F6F6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43AEEB5" w14:textId="466FC73F" w:rsidR="00125811" w:rsidRPr="008875CF" w:rsidRDefault="00000000" w:rsidP="00812C68">
            <w:pPr>
              <w:rPr>
                <w:rFonts w:cs="Times New Roman"/>
                <w:color w:val="000000" w:themeColor="text1"/>
                <w:szCs w:val="24"/>
              </w:rPr>
            </w:pPr>
            <w:r w:rsidRPr="00812C68">
              <w:rPr>
                <w:rFonts w:cs="Times New Roman"/>
                <w:b/>
                <w:color w:val="000000" w:themeColor="text1"/>
                <w:szCs w:val="24"/>
                <w:lang w:val="ru-RU"/>
              </w:rPr>
              <w:t xml:space="preserve">Рекомендуемая формулировка для Концепции. </w:t>
            </w:r>
            <w:r w:rsidRPr="00812C68">
              <w:rPr>
                <w:rFonts w:cs="Times New Roman"/>
                <w:color w:val="000000" w:themeColor="text1"/>
                <w:szCs w:val="24"/>
                <w:lang w:val="ru-RU"/>
              </w:rPr>
              <w:t xml:space="preserve">Пилот по ваучерному финансированию дошкольных организаций следует рассматривать как уже действующий инструмент перехода к модели, ориентированной на ребенка и родительский выбор. Задача Концепции </w:t>
            </w:r>
            <w:r w:rsidR="00804127">
              <w:rPr>
                <w:rFonts w:cs="Times New Roman"/>
                <w:color w:val="000000" w:themeColor="text1"/>
                <w:szCs w:val="24"/>
                <w:lang w:val="ru-RU"/>
              </w:rPr>
              <w:t>-</w:t>
            </w:r>
            <w:r w:rsidRPr="00812C68">
              <w:rPr>
                <w:rFonts w:cs="Times New Roman"/>
                <w:color w:val="000000" w:themeColor="text1"/>
                <w:szCs w:val="24"/>
                <w:lang w:val="ru-RU"/>
              </w:rPr>
              <w:t xml:space="preserve"> закрепить правила его дальнейшего расширения, прозрачные критерии участия организаций, единый цифровой учет и оценку результатов по доступности, качеству и эффективности расходования бюджетных средств.</w:t>
            </w:r>
          </w:p>
        </w:tc>
      </w:tr>
    </w:tbl>
    <w:p w14:paraId="388C0DE5" w14:textId="4C5C30B2" w:rsidR="003417F9" w:rsidRPr="008875CF" w:rsidRDefault="003417F9" w:rsidP="008875CF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06D8BC" w14:textId="7C1E7C1B" w:rsidR="00125811" w:rsidRPr="00812C68" w:rsidRDefault="00000000" w:rsidP="00812C68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12C6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3. Основные предложения по доработке проекта</w:t>
      </w:r>
    </w:p>
    <w:p w14:paraId="72B544AA" w14:textId="29D290E1" w:rsidR="00125811" w:rsidRPr="00812C68" w:rsidRDefault="00000000" w:rsidP="00812C68">
      <w:pPr>
        <w:rPr>
          <w:rFonts w:cs="Times New Roman"/>
          <w:color w:val="000000" w:themeColor="text1"/>
          <w:szCs w:val="24"/>
          <w:lang w:val="ru-RU"/>
        </w:rPr>
      </w:pPr>
      <w:r w:rsidRPr="00812C68">
        <w:rPr>
          <w:rFonts w:cs="Times New Roman"/>
          <w:b/>
          <w:color w:val="000000" w:themeColor="text1"/>
          <w:szCs w:val="24"/>
          <w:lang w:val="ru-RU"/>
        </w:rPr>
        <w:t xml:space="preserve">3.1. Четко сформулировать цель Концепции. </w:t>
      </w:r>
      <w:r w:rsidRPr="00812C68">
        <w:rPr>
          <w:rFonts w:cs="Times New Roman"/>
          <w:color w:val="000000" w:themeColor="text1"/>
          <w:szCs w:val="24"/>
          <w:lang w:val="ru-RU"/>
        </w:rPr>
        <w:t xml:space="preserve">В документе желательно прямо написать, что развитие конкуренции в образовании не является самоцелью. Его цель </w:t>
      </w:r>
      <w:r w:rsidR="004B66ED">
        <w:rPr>
          <w:rFonts w:cs="Times New Roman"/>
          <w:color w:val="000000" w:themeColor="text1"/>
          <w:szCs w:val="24"/>
          <w:lang w:val="ru-RU"/>
        </w:rPr>
        <w:t xml:space="preserve">- </w:t>
      </w:r>
      <w:r w:rsidRPr="00812C68">
        <w:rPr>
          <w:rFonts w:cs="Times New Roman"/>
          <w:color w:val="000000" w:themeColor="text1"/>
          <w:szCs w:val="24"/>
          <w:lang w:val="ru-RU"/>
        </w:rPr>
        <w:t>повышение качества, доступности, инновационности и эффективности бюджетных расходов при сохранении государственных гарантий качества, безопасности, инклюзии и территориальной доступности. Такая формулировка снимет риск неверного толкования Концепции как курса на простое вытеснение государства из отрасли.</w:t>
      </w:r>
    </w:p>
    <w:p w14:paraId="2F181995" w14:textId="1E032A47" w:rsidR="00125811" w:rsidRPr="00812C68" w:rsidRDefault="00000000" w:rsidP="00812C68">
      <w:pPr>
        <w:rPr>
          <w:rFonts w:cs="Times New Roman"/>
          <w:color w:val="000000" w:themeColor="text1"/>
          <w:szCs w:val="24"/>
          <w:lang w:val="ru-RU"/>
        </w:rPr>
      </w:pPr>
      <w:r w:rsidRPr="00812C68">
        <w:rPr>
          <w:rFonts w:cs="Times New Roman"/>
          <w:b/>
          <w:color w:val="000000" w:themeColor="text1"/>
          <w:szCs w:val="24"/>
          <w:lang w:val="ru-RU"/>
        </w:rPr>
        <w:t xml:space="preserve">3.2. Добавить разделы с результатами, сроками и ответственными органами. </w:t>
      </w:r>
      <w:r w:rsidRPr="00812C68">
        <w:rPr>
          <w:rFonts w:cs="Times New Roman"/>
          <w:color w:val="000000" w:themeColor="text1"/>
          <w:szCs w:val="24"/>
          <w:lang w:val="ru-RU"/>
        </w:rPr>
        <w:t>Без целевых показателей и плана действий Концепция останется рамочным текстом. В ней необходимо предусмотреть отдельные разделы с измеримыми индикаторами, календарем реализации на 2027</w:t>
      </w:r>
      <w:r w:rsidR="004B66ED">
        <w:rPr>
          <w:rFonts w:cs="Times New Roman"/>
          <w:color w:val="000000" w:themeColor="text1"/>
          <w:szCs w:val="24"/>
          <w:lang w:val="ru-RU"/>
        </w:rPr>
        <w:t>-</w:t>
      </w:r>
      <w:r w:rsidRPr="00812C68">
        <w:rPr>
          <w:rFonts w:cs="Times New Roman"/>
          <w:color w:val="000000" w:themeColor="text1"/>
          <w:szCs w:val="24"/>
          <w:lang w:val="ru-RU"/>
        </w:rPr>
        <w:t>2031 годы, ответственными органами и ежегодной публичной отчетностью о достигнутых результатах.</w:t>
      </w:r>
    </w:p>
    <w:p w14:paraId="4A9A2B4A" w14:textId="77777777" w:rsidR="00125811" w:rsidRPr="00812C68" w:rsidRDefault="00000000" w:rsidP="00812C68">
      <w:pPr>
        <w:rPr>
          <w:rFonts w:cs="Times New Roman"/>
          <w:color w:val="000000" w:themeColor="text1"/>
          <w:szCs w:val="24"/>
          <w:lang w:val="ru-RU"/>
        </w:rPr>
      </w:pPr>
      <w:r w:rsidRPr="00812C68">
        <w:rPr>
          <w:rFonts w:cs="Times New Roman"/>
          <w:b/>
          <w:color w:val="000000" w:themeColor="text1"/>
          <w:szCs w:val="24"/>
          <w:lang w:val="ru-RU"/>
        </w:rPr>
        <w:t xml:space="preserve">3.3. Закрепить единый подход к публичному финансированию. </w:t>
      </w:r>
      <w:r w:rsidRPr="00812C68">
        <w:rPr>
          <w:rFonts w:cs="Times New Roman"/>
          <w:color w:val="000000" w:themeColor="text1"/>
          <w:szCs w:val="24"/>
          <w:lang w:val="ru-RU"/>
        </w:rPr>
        <w:t>Нужно последовательно перейти от логики «финансирование учреждения само по себе» к логике оплаты конкретной образовательной услуги. При этом средства бюджета должны распределяться по прозрачной формуле, с понятными коэффициентами для сельских территорий, детей с особыми образовательными потребностями, инклюзии, подвоза и других объективных факторов. Отдельно важно закрепить стабильность условий договоров, предсказуемые сроки оплаты и запрет на ретроактивное изменение правил.</w:t>
      </w:r>
    </w:p>
    <w:p w14:paraId="177B9EA3" w14:textId="3E828FDF" w:rsidR="00125811" w:rsidRPr="00812C68" w:rsidRDefault="00000000" w:rsidP="00812C68">
      <w:pPr>
        <w:rPr>
          <w:rFonts w:cs="Times New Roman"/>
          <w:color w:val="000000" w:themeColor="text1"/>
          <w:szCs w:val="24"/>
          <w:lang w:val="ru-RU"/>
        </w:rPr>
      </w:pPr>
      <w:r w:rsidRPr="00812C68">
        <w:rPr>
          <w:rFonts w:cs="Times New Roman"/>
          <w:b/>
          <w:color w:val="000000" w:themeColor="text1"/>
          <w:szCs w:val="24"/>
          <w:lang w:val="ru-RU"/>
        </w:rPr>
        <w:t>3.4. Установить принцип «равные деньги</w:t>
      </w:r>
      <w:r w:rsidR="004B66ED">
        <w:rPr>
          <w:rFonts w:cs="Times New Roman"/>
          <w:b/>
          <w:color w:val="000000" w:themeColor="text1"/>
          <w:szCs w:val="24"/>
          <w:lang w:val="ru-RU"/>
        </w:rPr>
        <w:t xml:space="preserve"> -</w:t>
      </w:r>
      <w:r w:rsidRPr="00812C68">
        <w:rPr>
          <w:rFonts w:cs="Times New Roman"/>
          <w:b/>
          <w:color w:val="000000" w:themeColor="text1"/>
          <w:szCs w:val="24"/>
          <w:lang w:val="ru-RU"/>
        </w:rPr>
        <w:t xml:space="preserve"> равные обязательства». </w:t>
      </w:r>
      <w:r w:rsidRPr="00812C68">
        <w:rPr>
          <w:rFonts w:cs="Times New Roman"/>
          <w:color w:val="000000" w:themeColor="text1"/>
          <w:szCs w:val="24"/>
          <w:lang w:val="ru-RU"/>
        </w:rPr>
        <w:t>Если организация получает государственное финансирование, к ней должны применяться единые базовые требования к качеству услуги, безопасности, приему обучающихся, инклюзии, отчетности и раскрытию информации. Государственная и частная формы собственности не должны сами по себе давать преимущества или, наоборот, создавать дополнительные барьеры.</w:t>
      </w:r>
    </w:p>
    <w:p w14:paraId="7C818424" w14:textId="77777777" w:rsidR="00125811" w:rsidRDefault="00000000" w:rsidP="00812C68">
      <w:pPr>
        <w:rPr>
          <w:rFonts w:cs="Times New Roman"/>
          <w:color w:val="000000" w:themeColor="text1"/>
          <w:szCs w:val="24"/>
          <w:lang w:val="ru-RU"/>
        </w:rPr>
      </w:pPr>
      <w:r w:rsidRPr="00812C68">
        <w:rPr>
          <w:rFonts w:cs="Times New Roman"/>
          <w:b/>
          <w:color w:val="000000" w:themeColor="text1"/>
          <w:szCs w:val="24"/>
          <w:lang w:val="ru-RU"/>
        </w:rPr>
        <w:t xml:space="preserve">3.5. Разделить функции государства как регулятора и участника рынка. </w:t>
      </w:r>
      <w:r w:rsidRPr="00812C68">
        <w:rPr>
          <w:rFonts w:cs="Times New Roman"/>
          <w:color w:val="000000" w:themeColor="text1"/>
          <w:szCs w:val="24"/>
          <w:lang w:val="ru-RU"/>
        </w:rPr>
        <w:t>Государство должно сохранять функции стандарта, контроля, защиты прав ребенка и обеспечения доступности в дефицитных территориях. Но там, где может работать конкурентная среда, государство не должно одновременно устанавливать правила, само предоставлять услугу и само создавать для себя лучшие условия. Перед созданием новых государственных операторов, платформ или организаций в конкурентных сегментах желательно проводить обязательную проверку: нельзя ли решить ту же задачу через открытый конкурс, государственно-частное партнерство, сервисный контракт или доверительное управление.</w:t>
      </w:r>
    </w:p>
    <w:p w14:paraId="7A84F198" w14:textId="0956125E" w:rsidR="00A72502" w:rsidRPr="00812C68" w:rsidRDefault="00A72502" w:rsidP="00812C68">
      <w:pPr>
        <w:rPr>
          <w:rFonts w:cs="Times New Roman"/>
          <w:color w:val="000000" w:themeColor="text1"/>
          <w:szCs w:val="24"/>
          <w:lang w:val="ru-RU"/>
        </w:rPr>
      </w:pPr>
      <w:r w:rsidRPr="00A72502">
        <w:rPr>
          <w:rFonts w:cs="Times New Roman"/>
          <w:b/>
          <w:bCs/>
          <w:color w:val="000000" w:themeColor="text1"/>
          <w:szCs w:val="24"/>
          <w:lang w:val="ru-RU"/>
        </w:rPr>
        <w:t>3.6. Закрепить роль саморегулируемых организаций в развитии конкуренции.</w:t>
      </w:r>
      <w:r w:rsidRPr="00A72502">
        <w:rPr>
          <w:rFonts w:cs="Times New Roman"/>
          <w:color w:val="000000" w:themeColor="text1"/>
          <w:szCs w:val="24"/>
          <w:lang w:val="ru-RU"/>
        </w:rPr>
        <w:br/>
        <w:t>В Концепции целесообразно отдельно предусмотреть развитие саморегулируемых организаций как института профессиональной ответственности и отраслевой дисциплины. СРО могут участвовать в выработке стандартов добросовестного поведения на рынке, кодексов профессиональной этики, единых подходов к прозрачности, внутреннему контролю качества, профилактике нарушений и рассмотрению обращений участников рынка. Это позволит перевести часть вопросов из режима постоянного административного вмешательства в режим профессиональной ответственности и саморегулирования, не подменяя при этом государственный контроль и надзор.</w:t>
      </w:r>
    </w:p>
    <w:p w14:paraId="0FB74A5F" w14:textId="77D8A731" w:rsidR="00125811" w:rsidRPr="00812C68" w:rsidRDefault="00000000" w:rsidP="00812C68">
      <w:pPr>
        <w:rPr>
          <w:rFonts w:cs="Times New Roman"/>
          <w:color w:val="000000" w:themeColor="text1"/>
          <w:szCs w:val="24"/>
          <w:lang w:val="ru-RU"/>
        </w:rPr>
      </w:pPr>
      <w:r w:rsidRPr="00812C68">
        <w:rPr>
          <w:rFonts w:cs="Times New Roman"/>
          <w:b/>
          <w:color w:val="000000" w:themeColor="text1"/>
          <w:szCs w:val="24"/>
          <w:lang w:val="ru-RU"/>
        </w:rPr>
        <w:lastRenderedPageBreak/>
        <w:t>3.</w:t>
      </w:r>
      <w:r w:rsidR="00A72502">
        <w:rPr>
          <w:rFonts w:cs="Times New Roman"/>
          <w:b/>
          <w:color w:val="000000" w:themeColor="text1"/>
          <w:szCs w:val="24"/>
          <w:lang w:val="ru-RU"/>
        </w:rPr>
        <w:t>7</w:t>
      </w:r>
      <w:r w:rsidRPr="00812C68">
        <w:rPr>
          <w:rFonts w:cs="Times New Roman"/>
          <w:b/>
          <w:color w:val="000000" w:themeColor="text1"/>
          <w:szCs w:val="24"/>
          <w:lang w:val="ru-RU"/>
        </w:rPr>
        <w:t xml:space="preserve">. Отдельно прописать вопрос инфраструктуры. </w:t>
      </w:r>
      <w:r w:rsidRPr="00812C68">
        <w:rPr>
          <w:rFonts w:cs="Times New Roman"/>
          <w:color w:val="000000" w:themeColor="text1"/>
          <w:szCs w:val="24"/>
          <w:lang w:val="ru-RU"/>
        </w:rPr>
        <w:t>Для инвестора важен не только доступ к финансированию, но и доступ к помещениям, земле, инженерной инфраструктуре и неиспользуемым государственным объектам. В Концепции следует предусмотреть открытый учет таких объектов, цифровую публикацию информации о них, прозрачные конкурсные процедуры аренды или доверительного управления и типовые договоры. Это позволит убрать ручное распределение ресурсов и снизить входные барьеры.</w:t>
      </w:r>
    </w:p>
    <w:p w14:paraId="05ACEA91" w14:textId="19158F80" w:rsidR="00125811" w:rsidRPr="00812C68" w:rsidRDefault="00000000" w:rsidP="00812C68">
      <w:pPr>
        <w:rPr>
          <w:rFonts w:cs="Times New Roman"/>
          <w:color w:val="000000" w:themeColor="text1"/>
          <w:szCs w:val="24"/>
          <w:lang w:val="ru-RU"/>
        </w:rPr>
      </w:pPr>
      <w:r w:rsidRPr="00812C68">
        <w:rPr>
          <w:rFonts w:cs="Times New Roman"/>
          <w:b/>
          <w:color w:val="000000" w:themeColor="text1"/>
          <w:szCs w:val="24"/>
          <w:lang w:val="ru-RU"/>
        </w:rPr>
        <w:t>3.</w:t>
      </w:r>
      <w:r w:rsidR="00A72502">
        <w:rPr>
          <w:rFonts w:cs="Times New Roman"/>
          <w:b/>
          <w:color w:val="000000" w:themeColor="text1"/>
          <w:szCs w:val="24"/>
          <w:lang w:val="ru-RU"/>
        </w:rPr>
        <w:t>8</w:t>
      </w:r>
      <w:r w:rsidRPr="00812C68">
        <w:rPr>
          <w:rFonts w:cs="Times New Roman"/>
          <w:b/>
          <w:color w:val="000000" w:themeColor="text1"/>
          <w:szCs w:val="24"/>
          <w:lang w:val="ru-RU"/>
        </w:rPr>
        <w:t xml:space="preserve">. Снизить административные барьеры по принципу разумной достаточности. </w:t>
      </w:r>
      <w:r w:rsidRPr="00812C68">
        <w:rPr>
          <w:rFonts w:cs="Times New Roman"/>
          <w:color w:val="000000" w:themeColor="text1"/>
          <w:szCs w:val="24"/>
          <w:lang w:val="ru-RU"/>
        </w:rPr>
        <w:t>Требования к безопасности и качеству должны сохраняться, но они должны быть понятными, исчерпывающими и соразмерными риску. Для этого целесообразно предусмотреть единый чек‑лист требований, исключение дублирующих согласований, цифровой формат подачи документов и обязательную оценку влияния новых требований на конкуренцию и стоимость входа на рынок.</w:t>
      </w:r>
    </w:p>
    <w:p w14:paraId="55AF7E2A" w14:textId="7E656FB9" w:rsidR="00125811" w:rsidRPr="00812C68" w:rsidRDefault="00000000" w:rsidP="00812C68">
      <w:pPr>
        <w:rPr>
          <w:rFonts w:cs="Times New Roman"/>
          <w:color w:val="000000" w:themeColor="text1"/>
          <w:szCs w:val="24"/>
          <w:lang w:val="ru-RU"/>
        </w:rPr>
      </w:pPr>
      <w:r w:rsidRPr="00812C68">
        <w:rPr>
          <w:rFonts w:cs="Times New Roman"/>
          <w:b/>
          <w:color w:val="000000" w:themeColor="text1"/>
          <w:szCs w:val="24"/>
          <w:lang w:val="ru-RU"/>
        </w:rPr>
        <w:t>3.</w:t>
      </w:r>
      <w:r w:rsidR="00A72502">
        <w:rPr>
          <w:rFonts w:cs="Times New Roman"/>
          <w:b/>
          <w:color w:val="000000" w:themeColor="text1"/>
          <w:szCs w:val="24"/>
          <w:lang w:val="ru-RU"/>
        </w:rPr>
        <w:t>9</w:t>
      </w:r>
      <w:r w:rsidRPr="00812C68">
        <w:rPr>
          <w:rFonts w:cs="Times New Roman"/>
          <w:b/>
          <w:color w:val="000000" w:themeColor="text1"/>
          <w:szCs w:val="24"/>
          <w:lang w:val="ru-RU"/>
        </w:rPr>
        <w:t xml:space="preserve">. Переписать цифровой блок понятным и современным языком. </w:t>
      </w:r>
      <w:r w:rsidRPr="00812C68">
        <w:rPr>
          <w:rFonts w:cs="Times New Roman"/>
          <w:color w:val="000000" w:themeColor="text1"/>
          <w:szCs w:val="24"/>
          <w:lang w:val="ru-RU"/>
        </w:rPr>
        <w:t>В цифровой части Концепции важно закрепить не создание новой закрытой платформы, а правила открытого и честного цифрового рынка. Все цифровые решения, через которые распределяются бюджетные средства, собираются данные об обучающихся или организуется доступ к образовательным услугам, должны быть совместимы между собой, использовать открытые интерфейсы обмена данными, обеспечивать перенос данных при смене поставщика и не создавать технологическую зависимость школы, колледжа или региона от одной компании. Следует исключить необоснованное предоставление исключительных прав отдельным поставщикам и не допускать таких условий закупок и договоров, которые фактически закрывают рынок для альтернативных решений.</w:t>
      </w:r>
    </w:p>
    <w:p w14:paraId="4887E1A8" w14:textId="4E150656" w:rsidR="00125811" w:rsidRPr="00812C68" w:rsidRDefault="00000000" w:rsidP="00812C68">
      <w:pPr>
        <w:rPr>
          <w:rFonts w:cs="Times New Roman"/>
          <w:color w:val="000000" w:themeColor="text1"/>
          <w:szCs w:val="24"/>
          <w:lang w:val="ru-RU"/>
        </w:rPr>
      </w:pPr>
      <w:r w:rsidRPr="00812C68">
        <w:rPr>
          <w:rFonts w:cs="Times New Roman"/>
          <w:b/>
          <w:color w:val="000000" w:themeColor="text1"/>
          <w:szCs w:val="24"/>
          <w:lang w:val="ru-RU"/>
        </w:rPr>
        <w:t>3.</w:t>
      </w:r>
      <w:r w:rsidR="00A72502">
        <w:rPr>
          <w:rFonts w:cs="Times New Roman"/>
          <w:b/>
          <w:color w:val="000000" w:themeColor="text1"/>
          <w:szCs w:val="24"/>
          <w:lang w:val="ru-RU"/>
        </w:rPr>
        <w:t>10</w:t>
      </w:r>
      <w:r w:rsidRPr="00812C68">
        <w:rPr>
          <w:rFonts w:cs="Times New Roman"/>
          <w:b/>
          <w:color w:val="000000" w:themeColor="text1"/>
          <w:szCs w:val="24"/>
          <w:lang w:val="ru-RU"/>
        </w:rPr>
        <w:t xml:space="preserve">. Создать понятную систему информации для родителей. </w:t>
      </w:r>
      <w:r w:rsidRPr="00812C68">
        <w:rPr>
          <w:rFonts w:cs="Times New Roman"/>
          <w:color w:val="000000" w:themeColor="text1"/>
          <w:szCs w:val="24"/>
          <w:lang w:val="ru-RU"/>
        </w:rPr>
        <w:t>Родителям нужна не формальная отчетность, а удобная и понятная информация о том, куда они отдают ребенка. Для всех организаций, получающих публичное финансирование, следует раскрывать единый минимум данных: лицензия, язык обучения, условия приема, наличие свободных мест, педагогический состав, условия инклюзии, результаты оценки качества, сведения о родительской плате и использовании бюджетных средств. Логично развивать уже появившиеся цифровые справочники, карты и аналитические разделы, а не создавать множество несвязанных друг с другом источников.</w:t>
      </w:r>
    </w:p>
    <w:p w14:paraId="3F1C7A48" w14:textId="1339585F" w:rsidR="00125811" w:rsidRDefault="00000000" w:rsidP="00812C68">
      <w:pPr>
        <w:rPr>
          <w:rFonts w:cs="Times New Roman"/>
          <w:color w:val="000000" w:themeColor="text1"/>
          <w:szCs w:val="24"/>
          <w:lang w:val="ru-RU"/>
        </w:rPr>
      </w:pPr>
      <w:r w:rsidRPr="00812C68">
        <w:rPr>
          <w:rFonts w:cs="Times New Roman"/>
          <w:b/>
          <w:color w:val="000000" w:themeColor="text1"/>
          <w:szCs w:val="24"/>
          <w:lang w:val="ru-RU"/>
        </w:rPr>
        <w:t>3.1</w:t>
      </w:r>
      <w:r w:rsidR="00A72502">
        <w:rPr>
          <w:rFonts w:cs="Times New Roman"/>
          <w:b/>
          <w:color w:val="000000" w:themeColor="text1"/>
          <w:szCs w:val="24"/>
          <w:lang w:val="ru-RU"/>
        </w:rPr>
        <w:t>1</w:t>
      </w:r>
      <w:r w:rsidRPr="00812C68">
        <w:rPr>
          <w:rFonts w:cs="Times New Roman"/>
          <w:b/>
          <w:color w:val="000000" w:themeColor="text1"/>
          <w:szCs w:val="24"/>
          <w:lang w:val="ru-RU"/>
        </w:rPr>
        <w:t xml:space="preserve">. Ввести механизм апелляции и ежегодный конкурентный аудит. </w:t>
      </w:r>
      <w:r w:rsidRPr="00812C68">
        <w:rPr>
          <w:rFonts w:cs="Times New Roman"/>
          <w:color w:val="000000" w:themeColor="text1"/>
          <w:szCs w:val="24"/>
          <w:lang w:val="ru-RU"/>
        </w:rPr>
        <w:t>Участники рынка должны иметь понятную процедуру обжалования отказов в допуске к государственному заказу, мерам поддержки, цифровым системам и инфраструктуре. Также целесообразно готовить ежегодный публичный доклад о состоянии конкуренции в образовании с перечнем барьеров, принятых мер и нерешенных вопросов.</w:t>
      </w:r>
    </w:p>
    <w:p w14:paraId="15BC6D25" w14:textId="77777777" w:rsidR="005F18D5" w:rsidRPr="005F18D5" w:rsidRDefault="005F18D5" w:rsidP="00812C68">
      <w:pPr>
        <w:rPr>
          <w:rFonts w:cs="Times New Roman"/>
          <w:color w:val="000000" w:themeColor="text1"/>
          <w:szCs w:val="24"/>
          <w:lang w:val="en-KZ"/>
        </w:rPr>
      </w:pPr>
    </w:p>
    <w:p w14:paraId="428BE18A" w14:textId="77777777" w:rsidR="00125811" w:rsidRPr="00812C68" w:rsidRDefault="00000000" w:rsidP="00812C68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12C6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4. Предлагаемые формулировки для включения в Концепцию</w:t>
      </w:r>
    </w:p>
    <w:p w14:paraId="0B584C9E" w14:textId="77777777" w:rsidR="00125811" w:rsidRPr="00812C68" w:rsidRDefault="00000000" w:rsidP="00812C68">
      <w:pPr>
        <w:rPr>
          <w:rFonts w:cs="Times New Roman"/>
          <w:color w:val="000000" w:themeColor="text1"/>
          <w:szCs w:val="24"/>
          <w:lang w:val="ru-RU"/>
        </w:rPr>
      </w:pPr>
      <w:r w:rsidRPr="00812C68">
        <w:rPr>
          <w:rFonts w:cs="Times New Roman"/>
          <w:color w:val="000000" w:themeColor="text1"/>
          <w:szCs w:val="24"/>
          <w:lang w:val="ru-RU"/>
        </w:rPr>
        <w:t>Ниже приведены формулировки, которые можно использовать в тексте Концепции почти без переработки.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412"/>
      </w:tblGrid>
      <w:tr w:rsidR="00812C68" w:rsidRPr="005F18D5" w14:paraId="2BE3BA3A" w14:textId="77777777" w:rsidTr="00A72502">
        <w:trPr>
          <w:jc w:val="center"/>
        </w:trPr>
        <w:tc>
          <w:tcPr>
            <w:tcW w:w="9412" w:type="dxa"/>
            <w:shd w:val="clear" w:color="auto" w:fill="F2F2F2" w:themeFill="background1" w:themeFillShade="F2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58008F0" w14:textId="77777777" w:rsidR="00125811" w:rsidRPr="00812C68" w:rsidRDefault="00000000" w:rsidP="00812C68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812C68">
              <w:rPr>
                <w:rFonts w:cs="Times New Roman"/>
                <w:i/>
                <w:color w:val="000000" w:themeColor="text1"/>
                <w:szCs w:val="24"/>
                <w:lang w:val="ru-RU"/>
              </w:rPr>
              <w:t xml:space="preserve">«Развитие конкуренции в сфере образования рассматривается не как самоцель и не как сокращение государственных гарантий, а как инструмент повышения качества, </w:t>
            </w:r>
            <w:r w:rsidRPr="00812C68">
              <w:rPr>
                <w:rFonts w:cs="Times New Roman"/>
                <w:i/>
                <w:color w:val="000000" w:themeColor="text1"/>
                <w:szCs w:val="24"/>
                <w:lang w:val="ru-RU"/>
              </w:rPr>
              <w:lastRenderedPageBreak/>
              <w:t>доступности, инновационности и эффективности бюджетных расходов. Государство сохраняет функции стандарта, контроля качества, безопасности, инклюзии и территориальной доступности, при этом в конкурентных сегментах действует как нейтральный регулятор и публичный заказчик.»</w:t>
            </w:r>
          </w:p>
        </w:tc>
      </w:tr>
    </w:tbl>
    <w:p w14:paraId="5A6C1125" w14:textId="77777777" w:rsidR="00125811" w:rsidRPr="00812C68" w:rsidRDefault="00125811" w:rsidP="00812C68">
      <w:pPr>
        <w:rPr>
          <w:rFonts w:cs="Times New Roman"/>
          <w:color w:val="000000" w:themeColor="text1"/>
          <w:szCs w:val="24"/>
          <w:lang w:val="ru-RU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412"/>
      </w:tblGrid>
      <w:tr w:rsidR="00812C68" w:rsidRPr="005F18D5" w14:paraId="23B753FC" w14:textId="77777777" w:rsidTr="00A72502">
        <w:trPr>
          <w:jc w:val="center"/>
        </w:trPr>
        <w:tc>
          <w:tcPr>
            <w:tcW w:w="9412" w:type="dxa"/>
            <w:shd w:val="clear" w:color="auto" w:fill="F2F2F2" w:themeFill="background1" w:themeFillShade="F2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EDA9C9E" w14:textId="77777777" w:rsidR="00125811" w:rsidRPr="00812C68" w:rsidRDefault="00000000" w:rsidP="00812C68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812C68">
              <w:rPr>
                <w:rFonts w:cs="Times New Roman"/>
                <w:i/>
                <w:color w:val="000000" w:themeColor="text1"/>
                <w:szCs w:val="24"/>
                <w:lang w:val="ru-RU"/>
              </w:rPr>
              <w:t xml:space="preserve">«При совершенствовании механизмов финансирования и администрирования необходимо опираться на уже запущенные пилотные проекты и цифровые решения. Пилот нового механизма размещения государственного образовательного заказа в частных школах, реализуемый через сервис </w:t>
            </w:r>
            <w:proofErr w:type="spellStart"/>
            <w:r w:rsidRPr="00812C68">
              <w:rPr>
                <w:rFonts w:cs="Times New Roman"/>
                <w:i/>
                <w:color w:val="000000" w:themeColor="text1"/>
                <w:szCs w:val="24"/>
              </w:rPr>
              <w:t>OrtaBilim</w:t>
            </w:r>
            <w:proofErr w:type="spellEnd"/>
            <w:r w:rsidRPr="00812C68">
              <w:rPr>
                <w:rFonts w:cs="Times New Roman"/>
                <w:i/>
                <w:color w:val="000000" w:themeColor="text1"/>
                <w:szCs w:val="24"/>
                <w:lang w:val="ru-RU"/>
              </w:rPr>
              <w:t xml:space="preserve"> на платформе </w:t>
            </w:r>
            <w:r w:rsidRPr="00812C68">
              <w:rPr>
                <w:rFonts w:cs="Times New Roman"/>
                <w:i/>
                <w:color w:val="000000" w:themeColor="text1"/>
                <w:szCs w:val="24"/>
              </w:rPr>
              <w:t>e</w:t>
            </w:r>
            <w:r w:rsidRPr="00812C68">
              <w:rPr>
                <w:rFonts w:cs="Times New Roman"/>
                <w:i/>
                <w:color w:val="000000" w:themeColor="text1"/>
                <w:szCs w:val="24"/>
                <w:lang w:val="ru-RU"/>
              </w:rPr>
              <w:t>‑</w:t>
            </w:r>
            <w:proofErr w:type="spellStart"/>
            <w:r w:rsidRPr="00812C68">
              <w:rPr>
                <w:rFonts w:cs="Times New Roman"/>
                <w:i/>
                <w:color w:val="000000" w:themeColor="text1"/>
                <w:szCs w:val="24"/>
              </w:rPr>
              <w:t>Qazyna</w:t>
            </w:r>
            <w:proofErr w:type="spellEnd"/>
            <w:r w:rsidRPr="00812C68">
              <w:rPr>
                <w:rFonts w:cs="Times New Roman"/>
                <w:i/>
                <w:color w:val="000000" w:themeColor="text1"/>
                <w:szCs w:val="24"/>
                <w:lang w:val="ru-RU"/>
              </w:rPr>
              <w:t>, а также пилот ваучерного финансирования дошкольных организаций должны использоваться как база для дальнейшего масштабирования, унификации правил и повышения прозрачности.»</w:t>
            </w:r>
          </w:p>
        </w:tc>
      </w:tr>
    </w:tbl>
    <w:p w14:paraId="4B1DA451" w14:textId="77777777" w:rsidR="00125811" w:rsidRPr="00812C68" w:rsidRDefault="00125811" w:rsidP="00812C68">
      <w:pPr>
        <w:rPr>
          <w:rFonts w:cs="Times New Roman"/>
          <w:color w:val="000000" w:themeColor="text1"/>
          <w:szCs w:val="24"/>
          <w:lang w:val="ru-RU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412"/>
      </w:tblGrid>
      <w:tr w:rsidR="00812C68" w:rsidRPr="005F18D5" w14:paraId="6154CC66" w14:textId="77777777" w:rsidTr="00A72502">
        <w:trPr>
          <w:jc w:val="center"/>
        </w:trPr>
        <w:tc>
          <w:tcPr>
            <w:tcW w:w="9412" w:type="dxa"/>
            <w:shd w:val="clear" w:color="auto" w:fill="F2F2F2" w:themeFill="background1" w:themeFillShade="F2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B3592FD" w14:textId="77777777" w:rsidR="00125811" w:rsidRPr="00812C68" w:rsidRDefault="00000000" w:rsidP="00812C68">
            <w:pPr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812C68">
              <w:rPr>
                <w:rFonts w:cs="Times New Roman"/>
                <w:i/>
                <w:color w:val="000000" w:themeColor="text1"/>
                <w:szCs w:val="24"/>
                <w:lang w:val="ru-RU"/>
              </w:rPr>
              <w:t>«Публичное финансирование в сфере образования должно предоставляться по единым, понятным и прозрачным правилам независимо от формы собственности поставщика. Средства бюджета должны быть максимально привязаны к фактически оказываемой услуге и получателю услуги, а все поставщики, работающие за счет государственного финансирования, должны нести сопоставимые обязательства по качеству, безопасности, инклюзии, отчетности и раскрытию информации.»</w:t>
            </w:r>
          </w:p>
        </w:tc>
      </w:tr>
    </w:tbl>
    <w:p w14:paraId="0D3252C1" w14:textId="77777777" w:rsidR="00125811" w:rsidRDefault="00125811" w:rsidP="00812C68">
      <w:pPr>
        <w:rPr>
          <w:rFonts w:cs="Times New Roman"/>
          <w:color w:val="000000" w:themeColor="text1"/>
          <w:szCs w:val="24"/>
          <w:lang w:val="ru-RU"/>
        </w:rPr>
      </w:pPr>
    </w:p>
    <w:p w14:paraId="53802BF4" w14:textId="1BD8A335" w:rsidR="00A72502" w:rsidRDefault="00A72502" w:rsidP="00A72502">
      <w:pPr>
        <w:shd w:val="clear" w:color="auto" w:fill="F2F2F2" w:themeFill="background1" w:themeFillShade="F2"/>
        <w:rPr>
          <w:rFonts w:cs="Times New Roman"/>
          <w:i/>
          <w:color w:val="000000" w:themeColor="text1"/>
          <w:szCs w:val="24"/>
          <w:lang w:val="ru-RU"/>
        </w:rPr>
      </w:pPr>
      <w:r w:rsidRPr="00A72502">
        <w:rPr>
          <w:rFonts w:cs="Times New Roman"/>
          <w:i/>
          <w:color w:val="000000" w:themeColor="text1"/>
          <w:szCs w:val="24"/>
          <w:lang w:val="ru-RU"/>
        </w:rPr>
        <w:t>«В сфере образования необходимо поэтапно развивать механизмы саморегулирования как дополнение к государственному регулированию. Саморегулируемые организации могут участвовать в выработке отраслевых стандартов деятельности, кодексов профессиональной этики, правил добросовестной конкуренции, внутренних механизмов контроля качества и рассмотрения обращений участников рынка. Развитие СРО позволит повысить прозрачность рынка, укрепить ответственность поставщиков образовательных услуг и создать более устойчивую конкурентную среду без отказа государства от функций лицензирования, надзора и защиты прав детей».</w:t>
      </w:r>
    </w:p>
    <w:p w14:paraId="5AF67411" w14:textId="77777777" w:rsidR="00A72502" w:rsidRPr="00A72502" w:rsidRDefault="00A72502" w:rsidP="00812C68">
      <w:pPr>
        <w:rPr>
          <w:rFonts w:cs="Times New Roman"/>
          <w:color w:val="000000" w:themeColor="text1"/>
          <w:szCs w:val="24"/>
          <w:lang w:val="ru-RU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412"/>
      </w:tblGrid>
      <w:tr w:rsidR="00812C68" w:rsidRPr="00812C68" w14:paraId="57759CB3" w14:textId="77777777" w:rsidTr="00A72502">
        <w:trPr>
          <w:jc w:val="center"/>
        </w:trPr>
        <w:tc>
          <w:tcPr>
            <w:tcW w:w="9412" w:type="dxa"/>
            <w:shd w:val="clear" w:color="auto" w:fill="F2F2F2" w:themeFill="background1" w:themeFillShade="F2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E9D6697" w14:textId="77777777" w:rsidR="00125811" w:rsidRPr="00812C68" w:rsidRDefault="00000000" w:rsidP="00812C68">
            <w:pPr>
              <w:rPr>
                <w:rFonts w:cs="Times New Roman"/>
                <w:color w:val="000000" w:themeColor="text1"/>
                <w:szCs w:val="24"/>
              </w:rPr>
            </w:pPr>
            <w:r w:rsidRPr="00812C68">
              <w:rPr>
                <w:rFonts w:cs="Times New Roman"/>
                <w:i/>
                <w:color w:val="000000" w:themeColor="text1"/>
                <w:szCs w:val="24"/>
                <w:lang w:val="ru-RU"/>
              </w:rPr>
              <w:t xml:space="preserve">«В цифровой среде необходимо обеспечить открытый и недискриминационный рынок образовательных решений. Цифровые системы, применяемые в сфере образования, должны быть совместимы между собой, использовать открытые интерфейсы обмена данными, обеспечивать перенос данных и не создавать технологической зависимости от одного поставщика. </w:t>
            </w:r>
            <w:proofErr w:type="spellStart"/>
            <w:r w:rsidRPr="00812C68">
              <w:rPr>
                <w:rFonts w:cs="Times New Roman"/>
                <w:i/>
                <w:color w:val="000000" w:themeColor="text1"/>
                <w:szCs w:val="24"/>
              </w:rPr>
              <w:t>Не</w:t>
            </w:r>
            <w:proofErr w:type="spellEnd"/>
            <w:r w:rsidRPr="00812C68">
              <w:rPr>
                <w:rFonts w:cs="Times New Roman"/>
                <w:i/>
                <w:color w:val="000000" w:themeColor="text1"/>
                <w:szCs w:val="24"/>
              </w:rPr>
              <w:t xml:space="preserve"> </w:t>
            </w:r>
            <w:proofErr w:type="spellStart"/>
            <w:r w:rsidRPr="00812C68">
              <w:rPr>
                <w:rFonts w:cs="Times New Roman"/>
                <w:i/>
                <w:color w:val="000000" w:themeColor="text1"/>
                <w:szCs w:val="24"/>
              </w:rPr>
              <w:t>допускается</w:t>
            </w:r>
            <w:proofErr w:type="spellEnd"/>
            <w:r w:rsidRPr="00812C68">
              <w:rPr>
                <w:rFonts w:cs="Times New Roman"/>
                <w:i/>
                <w:color w:val="000000" w:themeColor="text1"/>
                <w:szCs w:val="24"/>
              </w:rPr>
              <w:t xml:space="preserve"> </w:t>
            </w:r>
            <w:proofErr w:type="spellStart"/>
            <w:r w:rsidRPr="00812C68">
              <w:rPr>
                <w:rFonts w:cs="Times New Roman"/>
                <w:i/>
                <w:color w:val="000000" w:themeColor="text1"/>
                <w:szCs w:val="24"/>
              </w:rPr>
              <w:t>необоснованное</w:t>
            </w:r>
            <w:proofErr w:type="spellEnd"/>
            <w:r w:rsidRPr="00812C68">
              <w:rPr>
                <w:rFonts w:cs="Times New Roman"/>
                <w:i/>
                <w:color w:val="000000" w:themeColor="text1"/>
                <w:szCs w:val="24"/>
              </w:rPr>
              <w:t xml:space="preserve"> </w:t>
            </w:r>
            <w:proofErr w:type="spellStart"/>
            <w:r w:rsidRPr="00812C68">
              <w:rPr>
                <w:rFonts w:cs="Times New Roman"/>
                <w:i/>
                <w:color w:val="000000" w:themeColor="text1"/>
                <w:szCs w:val="24"/>
              </w:rPr>
              <w:t>предоставление</w:t>
            </w:r>
            <w:proofErr w:type="spellEnd"/>
            <w:r w:rsidRPr="00812C68">
              <w:rPr>
                <w:rFonts w:cs="Times New Roman"/>
                <w:i/>
                <w:color w:val="000000" w:themeColor="text1"/>
                <w:szCs w:val="24"/>
              </w:rPr>
              <w:t xml:space="preserve"> исключительных прав отдельным участникам рынка.»</w:t>
            </w:r>
          </w:p>
        </w:tc>
      </w:tr>
    </w:tbl>
    <w:p w14:paraId="560963CE" w14:textId="77777777" w:rsidR="00125811" w:rsidRPr="00812C68" w:rsidRDefault="00125811" w:rsidP="00812C68">
      <w:pPr>
        <w:rPr>
          <w:rFonts w:cs="Times New Roman"/>
          <w:color w:val="000000" w:themeColor="text1"/>
          <w:szCs w:val="24"/>
        </w:rPr>
      </w:pPr>
    </w:p>
    <w:p w14:paraId="4146BB70" w14:textId="77777777" w:rsidR="00125811" w:rsidRPr="00812C68" w:rsidRDefault="00000000" w:rsidP="00812C68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12C6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5. Индикаторы, которые стоит включить в Концепцию</w:t>
      </w:r>
    </w:p>
    <w:p w14:paraId="51919D37" w14:textId="77777777" w:rsidR="00125811" w:rsidRPr="00812C68" w:rsidRDefault="00000000" w:rsidP="00812C68">
      <w:pPr>
        <w:ind w:left="227" w:hanging="227"/>
        <w:rPr>
          <w:rFonts w:cs="Times New Roman"/>
          <w:color w:val="000000" w:themeColor="text1"/>
          <w:szCs w:val="24"/>
          <w:lang w:val="ru-RU"/>
        </w:rPr>
      </w:pPr>
      <w:r w:rsidRPr="00812C68">
        <w:rPr>
          <w:rFonts w:cs="Times New Roman"/>
          <w:b/>
          <w:color w:val="000000" w:themeColor="text1"/>
          <w:szCs w:val="24"/>
          <w:lang w:val="ru-RU"/>
        </w:rPr>
        <w:t xml:space="preserve">1. </w:t>
      </w:r>
      <w:r w:rsidRPr="00812C68">
        <w:rPr>
          <w:rFonts w:cs="Times New Roman"/>
          <w:color w:val="000000" w:themeColor="text1"/>
          <w:szCs w:val="24"/>
          <w:lang w:val="ru-RU"/>
        </w:rPr>
        <w:t>доля мер государственной поддержки, доступных поставщикам независимо от формы собственности;</w:t>
      </w:r>
    </w:p>
    <w:p w14:paraId="5A49258A" w14:textId="77777777" w:rsidR="00125811" w:rsidRPr="00812C68" w:rsidRDefault="00000000" w:rsidP="00812C68">
      <w:pPr>
        <w:ind w:left="227" w:hanging="227"/>
        <w:rPr>
          <w:rFonts w:cs="Times New Roman"/>
          <w:color w:val="000000" w:themeColor="text1"/>
          <w:szCs w:val="24"/>
          <w:lang w:val="ru-RU"/>
        </w:rPr>
      </w:pPr>
      <w:r w:rsidRPr="00812C68">
        <w:rPr>
          <w:rFonts w:cs="Times New Roman"/>
          <w:b/>
          <w:color w:val="000000" w:themeColor="text1"/>
          <w:szCs w:val="24"/>
          <w:lang w:val="ru-RU"/>
        </w:rPr>
        <w:t xml:space="preserve">2. </w:t>
      </w:r>
      <w:r w:rsidRPr="00812C68">
        <w:rPr>
          <w:rFonts w:cs="Times New Roman"/>
          <w:color w:val="000000" w:themeColor="text1"/>
          <w:szCs w:val="24"/>
          <w:lang w:val="ru-RU"/>
        </w:rPr>
        <w:t>доля государственного образовательного заказа, которая распределяется через единые цифровые процедуры с полным электронным следом;</w:t>
      </w:r>
    </w:p>
    <w:p w14:paraId="433201D0" w14:textId="77777777" w:rsidR="00125811" w:rsidRPr="00812C68" w:rsidRDefault="00000000" w:rsidP="00812C68">
      <w:pPr>
        <w:ind w:left="227" w:hanging="227"/>
        <w:rPr>
          <w:rFonts w:cs="Times New Roman"/>
          <w:color w:val="000000" w:themeColor="text1"/>
          <w:szCs w:val="24"/>
          <w:lang w:val="ru-RU"/>
        </w:rPr>
      </w:pPr>
      <w:r w:rsidRPr="00812C68">
        <w:rPr>
          <w:rFonts w:cs="Times New Roman"/>
          <w:b/>
          <w:color w:val="000000" w:themeColor="text1"/>
          <w:szCs w:val="24"/>
          <w:lang w:val="ru-RU"/>
        </w:rPr>
        <w:t xml:space="preserve">3. </w:t>
      </w:r>
      <w:r w:rsidRPr="00812C68">
        <w:rPr>
          <w:rFonts w:cs="Times New Roman"/>
          <w:color w:val="000000" w:themeColor="text1"/>
          <w:szCs w:val="24"/>
          <w:lang w:val="ru-RU"/>
        </w:rPr>
        <w:t>средний срок допуска организации к участию в механизмах государственного финансирования;</w:t>
      </w:r>
    </w:p>
    <w:p w14:paraId="707C6ADE" w14:textId="77777777" w:rsidR="00125811" w:rsidRPr="00812C68" w:rsidRDefault="00000000" w:rsidP="00812C68">
      <w:pPr>
        <w:ind w:left="227" w:hanging="227"/>
        <w:rPr>
          <w:rFonts w:cs="Times New Roman"/>
          <w:color w:val="000000" w:themeColor="text1"/>
          <w:szCs w:val="24"/>
          <w:lang w:val="ru-RU"/>
        </w:rPr>
      </w:pPr>
      <w:r w:rsidRPr="00812C68">
        <w:rPr>
          <w:rFonts w:cs="Times New Roman"/>
          <w:b/>
          <w:color w:val="000000" w:themeColor="text1"/>
          <w:szCs w:val="24"/>
          <w:lang w:val="ru-RU"/>
        </w:rPr>
        <w:t xml:space="preserve">4. </w:t>
      </w:r>
      <w:r w:rsidRPr="00812C68">
        <w:rPr>
          <w:rFonts w:cs="Times New Roman"/>
          <w:color w:val="000000" w:themeColor="text1"/>
          <w:szCs w:val="24"/>
          <w:lang w:val="ru-RU"/>
        </w:rPr>
        <w:t>доля договоров государственного заказа, оплаченных в установленный срок;</w:t>
      </w:r>
    </w:p>
    <w:p w14:paraId="701CAC79" w14:textId="77777777" w:rsidR="00125811" w:rsidRPr="00812C68" w:rsidRDefault="00000000" w:rsidP="00812C68">
      <w:pPr>
        <w:ind w:left="227" w:hanging="227"/>
        <w:rPr>
          <w:rFonts w:cs="Times New Roman"/>
          <w:color w:val="000000" w:themeColor="text1"/>
          <w:szCs w:val="24"/>
          <w:lang w:val="ru-RU"/>
        </w:rPr>
      </w:pPr>
      <w:r w:rsidRPr="00812C68">
        <w:rPr>
          <w:rFonts w:cs="Times New Roman"/>
          <w:b/>
          <w:color w:val="000000" w:themeColor="text1"/>
          <w:szCs w:val="24"/>
          <w:lang w:val="ru-RU"/>
        </w:rPr>
        <w:t xml:space="preserve">5. </w:t>
      </w:r>
      <w:r w:rsidRPr="00812C68">
        <w:rPr>
          <w:rFonts w:cs="Times New Roman"/>
          <w:color w:val="000000" w:themeColor="text1"/>
          <w:szCs w:val="24"/>
          <w:lang w:val="ru-RU"/>
        </w:rPr>
        <w:t>количество пересмотренных или отмененных регуляторных требований, признанных избыточными барьерами;</w:t>
      </w:r>
    </w:p>
    <w:p w14:paraId="17119878" w14:textId="77777777" w:rsidR="00125811" w:rsidRPr="00812C68" w:rsidRDefault="00000000" w:rsidP="00812C68">
      <w:pPr>
        <w:ind w:left="227" w:hanging="227"/>
        <w:rPr>
          <w:rFonts w:cs="Times New Roman"/>
          <w:color w:val="000000" w:themeColor="text1"/>
          <w:szCs w:val="24"/>
          <w:lang w:val="ru-RU"/>
        </w:rPr>
      </w:pPr>
      <w:r w:rsidRPr="00812C68">
        <w:rPr>
          <w:rFonts w:cs="Times New Roman"/>
          <w:b/>
          <w:color w:val="000000" w:themeColor="text1"/>
          <w:szCs w:val="24"/>
          <w:lang w:val="ru-RU"/>
        </w:rPr>
        <w:t xml:space="preserve">6. </w:t>
      </w:r>
      <w:r w:rsidRPr="00812C68">
        <w:rPr>
          <w:rFonts w:cs="Times New Roman"/>
          <w:color w:val="000000" w:themeColor="text1"/>
          <w:szCs w:val="24"/>
          <w:lang w:val="ru-RU"/>
        </w:rPr>
        <w:t>доля цифровых решений, в отношении которых обеспечены совместимость, открытые интерфейсы и перенос данных;</w:t>
      </w:r>
    </w:p>
    <w:p w14:paraId="1912E679" w14:textId="77777777" w:rsidR="00125811" w:rsidRPr="00812C68" w:rsidRDefault="00000000" w:rsidP="00812C68">
      <w:pPr>
        <w:ind w:left="227" w:hanging="227"/>
        <w:rPr>
          <w:rFonts w:cs="Times New Roman"/>
          <w:color w:val="000000" w:themeColor="text1"/>
          <w:szCs w:val="24"/>
          <w:lang w:val="ru-RU"/>
        </w:rPr>
      </w:pPr>
      <w:r w:rsidRPr="00812C68">
        <w:rPr>
          <w:rFonts w:cs="Times New Roman"/>
          <w:b/>
          <w:color w:val="000000" w:themeColor="text1"/>
          <w:szCs w:val="24"/>
          <w:lang w:val="ru-RU"/>
        </w:rPr>
        <w:t xml:space="preserve">7. </w:t>
      </w:r>
      <w:r w:rsidRPr="00812C68">
        <w:rPr>
          <w:rFonts w:cs="Times New Roman"/>
          <w:color w:val="000000" w:themeColor="text1"/>
          <w:szCs w:val="24"/>
          <w:lang w:val="ru-RU"/>
        </w:rPr>
        <w:t>доля организаций, получающих публичное финансирование и раскрывающих единый набор сведений для родителей и государства;</w:t>
      </w:r>
    </w:p>
    <w:p w14:paraId="05207040" w14:textId="77777777" w:rsidR="00125811" w:rsidRPr="00812C68" w:rsidRDefault="00000000" w:rsidP="00812C68">
      <w:pPr>
        <w:ind w:left="227" w:hanging="227"/>
        <w:rPr>
          <w:rFonts w:cs="Times New Roman"/>
          <w:color w:val="000000" w:themeColor="text1"/>
          <w:szCs w:val="24"/>
          <w:lang w:val="ru-RU"/>
        </w:rPr>
      </w:pPr>
      <w:r w:rsidRPr="00812C68">
        <w:rPr>
          <w:rFonts w:cs="Times New Roman"/>
          <w:b/>
          <w:color w:val="000000" w:themeColor="text1"/>
          <w:szCs w:val="24"/>
          <w:lang w:val="ru-RU"/>
        </w:rPr>
        <w:t xml:space="preserve">8. </w:t>
      </w:r>
      <w:r w:rsidRPr="00812C68">
        <w:rPr>
          <w:rFonts w:cs="Times New Roman"/>
          <w:color w:val="000000" w:themeColor="text1"/>
          <w:szCs w:val="24"/>
          <w:lang w:val="ru-RU"/>
        </w:rPr>
        <w:t>динамика регионального и социального неравенства доступа к выбору образовательной организации.</w:t>
      </w:r>
    </w:p>
    <w:p w14:paraId="487EF4E2" w14:textId="77777777" w:rsidR="00125811" w:rsidRPr="00812C68" w:rsidRDefault="00000000" w:rsidP="00812C68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12C6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6. Заключение</w:t>
      </w:r>
    </w:p>
    <w:p w14:paraId="49854D54" w14:textId="64AECDA3" w:rsidR="00125811" w:rsidRDefault="00000000" w:rsidP="00812C68">
      <w:pPr>
        <w:rPr>
          <w:rFonts w:cs="Times New Roman"/>
          <w:color w:val="000000" w:themeColor="text1"/>
          <w:szCs w:val="24"/>
          <w:lang w:val="ru-RU"/>
        </w:rPr>
      </w:pPr>
      <w:r w:rsidRPr="00812C68">
        <w:rPr>
          <w:rFonts w:cs="Times New Roman"/>
          <w:color w:val="000000" w:themeColor="text1"/>
          <w:szCs w:val="24"/>
          <w:lang w:val="ru-RU"/>
        </w:rPr>
        <w:t>Главная задача доработки Концепции</w:t>
      </w:r>
      <w:r w:rsidR="004B66ED">
        <w:rPr>
          <w:rFonts w:cs="Times New Roman"/>
          <w:color w:val="000000" w:themeColor="text1"/>
          <w:szCs w:val="24"/>
          <w:lang w:val="ru-RU"/>
        </w:rPr>
        <w:t xml:space="preserve"> -</w:t>
      </w:r>
      <w:r w:rsidRPr="00812C68">
        <w:rPr>
          <w:rFonts w:cs="Times New Roman"/>
          <w:color w:val="000000" w:themeColor="text1"/>
          <w:szCs w:val="24"/>
          <w:lang w:val="ru-RU"/>
        </w:rPr>
        <w:t xml:space="preserve"> перевести документ из уровня общих принципов в уровень понятных правил и работающих механизмов. Для рынка образования особенно важны не декларации, а предсказуемость: единый доступ к финансированию, понятные требования, цифровая прозрачность, стабильность договоров и возможность добросовестно инвестировать на долгий срок.</w:t>
      </w:r>
      <w:r w:rsidR="00A72502">
        <w:rPr>
          <w:rFonts w:cs="Times New Roman"/>
          <w:color w:val="000000" w:themeColor="text1"/>
          <w:szCs w:val="24"/>
          <w:lang w:val="ru-RU"/>
        </w:rPr>
        <w:t xml:space="preserve"> </w:t>
      </w:r>
    </w:p>
    <w:p w14:paraId="79DD1476" w14:textId="6C85BD42" w:rsidR="00A72502" w:rsidRPr="00A72502" w:rsidRDefault="00A72502" w:rsidP="00812C68">
      <w:pPr>
        <w:rPr>
          <w:rFonts w:cs="Times New Roman"/>
          <w:color w:val="000000" w:themeColor="text1"/>
          <w:szCs w:val="24"/>
          <w:lang w:val="ru-RU"/>
        </w:rPr>
      </w:pPr>
      <w:r w:rsidRPr="00A72502">
        <w:rPr>
          <w:rFonts w:cs="Times New Roman"/>
          <w:color w:val="000000" w:themeColor="text1"/>
          <w:szCs w:val="24"/>
          <w:lang w:val="ru-RU"/>
        </w:rPr>
        <w:t>Дополнительно считаем важным, чтобы в Концепции была отдельно закреплена роль саморегулируемых организаций в сфере образования. Без развития профессионального саморегулирования рынок будет по-прежнему зависеть только от административных механизмов. СРО могут стать постоянным инструментом обратной связи, отраслевой дисциплины, выработки стандартов добросовестного поведения и профилактики нарушений.</w:t>
      </w:r>
    </w:p>
    <w:p w14:paraId="504E487F" w14:textId="54306FAA" w:rsidR="00125811" w:rsidRPr="00812C68" w:rsidRDefault="00000000" w:rsidP="00812C68">
      <w:pPr>
        <w:rPr>
          <w:rFonts w:cs="Times New Roman"/>
          <w:color w:val="000000" w:themeColor="text1"/>
          <w:szCs w:val="24"/>
          <w:lang w:val="ru-RU"/>
        </w:rPr>
      </w:pPr>
      <w:r w:rsidRPr="00812C68">
        <w:rPr>
          <w:rFonts w:cs="Times New Roman"/>
          <w:color w:val="000000" w:themeColor="text1"/>
          <w:szCs w:val="24"/>
          <w:lang w:val="ru-RU"/>
        </w:rPr>
        <w:t xml:space="preserve">Ассоциация считает, что Концепция станет сильнее, если будет прямо опираться на уже начатые реформы: пилот нового механизма финансирования частных школ через </w:t>
      </w:r>
      <w:proofErr w:type="spellStart"/>
      <w:r w:rsidRPr="00812C68">
        <w:rPr>
          <w:rFonts w:cs="Times New Roman"/>
          <w:color w:val="000000" w:themeColor="text1"/>
          <w:szCs w:val="24"/>
        </w:rPr>
        <w:t>OrtaBilim</w:t>
      </w:r>
      <w:proofErr w:type="spellEnd"/>
      <w:r w:rsidRPr="00812C68">
        <w:rPr>
          <w:rFonts w:cs="Times New Roman"/>
          <w:color w:val="000000" w:themeColor="text1"/>
          <w:szCs w:val="24"/>
          <w:lang w:val="ru-RU"/>
        </w:rPr>
        <w:t xml:space="preserve"> и </w:t>
      </w:r>
      <w:r w:rsidRPr="00812C68">
        <w:rPr>
          <w:rFonts w:cs="Times New Roman"/>
          <w:color w:val="000000" w:themeColor="text1"/>
          <w:szCs w:val="24"/>
        </w:rPr>
        <w:t>e</w:t>
      </w:r>
      <w:r w:rsidRPr="00812C68">
        <w:rPr>
          <w:rFonts w:cs="Times New Roman"/>
          <w:color w:val="000000" w:themeColor="text1"/>
          <w:szCs w:val="24"/>
          <w:lang w:val="ru-RU"/>
        </w:rPr>
        <w:t>‑</w:t>
      </w:r>
      <w:proofErr w:type="spellStart"/>
      <w:r w:rsidRPr="00812C68">
        <w:rPr>
          <w:rFonts w:cs="Times New Roman"/>
          <w:color w:val="000000" w:themeColor="text1"/>
          <w:szCs w:val="24"/>
        </w:rPr>
        <w:t>Qazyna</w:t>
      </w:r>
      <w:proofErr w:type="spellEnd"/>
      <w:r w:rsidRPr="00812C68">
        <w:rPr>
          <w:rFonts w:cs="Times New Roman"/>
          <w:color w:val="000000" w:themeColor="text1"/>
          <w:szCs w:val="24"/>
          <w:lang w:val="ru-RU"/>
        </w:rPr>
        <w:t>, а также пилот ваучерного финансирования дошкольных организаций. Такой подход покажет, что государство не начинает реформу заново, а последовательно доводит до системы уже запущенные и востребованные решения.</w:t>
      </w:r>
    </w:p>
    <w:sectPr w:rsidR="00125811" w:rsidRPr="00812C68" w:rsidSect="00034616">
      <w:headerReference w:type="default" r:id="rId8"/>
      <w:pgSz w:w="11906" w:h="16838"/>
      <w:pgMar w:top="1134" w:right="1247" w:bottom="1134" w:left="124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5EE87B" w14:textId="77777777" w:rsidR="00A21EA4" w:rsidRDefault="00A21EA4">
      <w:pPr>
        <w:spacing w:after="0" w:line="240" w:lineRule="auto"/>
      </w:pPr>
      <w:r>
        <w:separator/>
      </w:r>
    </w:p>
  </w:endnote>
  <w:endnote w:type="continuationSeparator" w:id="0">
    <w:p w14:paraId="16CCE677" w14:textId="77777777" w:rsidR="00A21EA4" w:rsidRDefault="00A21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290121" w14:textId="77777777" w:rsidR="00A21EA4" w:rsidRDefault="00A21EA4">
      <w:pPr>
        <w:spacing w:after="0" w:line="240" w:lineRule="auto"/>
      </w:pPr>
      <w:r>
        <w:separator/>
      </w:r>
    </w:p>
  </w:footnote>
  <w:footnote w:type="continuationSeparator" w:id="0">
    <w:p w14:paraId="4333470A" w14:textId="77777777" w:rsidR="00A21EA4" w:rsidRDefault="00A21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6FF07" w14:textId="5D537209" w:rsidR="00125811" w:rsidRPr="00812C68" w:rsidRDefault="00125811">
    <w:pPr>
      <w:pStyle w:val="MetaStyle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660330"/>
    <w:multiLevelType w:val="multilevel"/>
    <w:tmpl w:val="F2180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1833127">
    <w:abstractNumId w:val="8"/>
  </w:num>
  <w:num w:numId="2" w16cid:durableId="1015228388">
    <w:abstractNumId w:val="6"/>
  </w:num>
  <w:num w:numId="3" w16cid:durableId="604922866">
    <w:abstractNumId w:val="5"/>
  </w:num>
  <w:num w:numId="4" w16cid:durableId="1824809375">
    <w:abstractNumId w:val="4"/>
  </w:num>
  <w:num w:numId="5" w16cid:durableId="1269197759">
    <w:abstractNumId w:val="7"/>
  </w:num>
  <w:num w:numId="6" w16cid:durableId="1817256204">
    <w:abstractNumId w:val="3"/>
  </w:num>
  <w:num w:numId="7" w16cid:durableId="1029648942">
    <w:abstractNumId w:val="2"/>
  </w:num>
  <w:num w:numId="8" w16cid:durableId="1007825023">
    <w:abstractNumId w:val="1"/>
  </w:num>
  <w:num w:numId="9" w16cid:durableId="1931044901">
    <w:abstractNumId w:val="0"/>
  </w:num>
  <w:num w:numId="10" w16cid:durableId="16690887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5811"/>
    <w:rsid w:val="0015074B"/>
    <w:rsid w:val="00152D3D"/>
    <w:rsid w:val="0029639D"/>
    <w:rsid w:val="00326F90"/>
    <w:rsid w:val="003417F9"/>
    <w:rsid w:val="004B66ED"/>
    <w:rsid w:val="005D5CEC"/>
    <w:rsid w:val="005F18D5"/>
    <w:rsid w:val="006C415F"/>
    <w:rsid w:val="00804127"/>
    <w:rsid w:val="00812C68"/>
    <w:rsid w:val="008875CF"/>
    <w:rsid w:val="00A21EA4"/>
    <w:rsid w:val="00A72502"/>
    <w:rsid w:val="00AA1D8D"/>
    <w:rsid w:val="00B47730"/>
    <w:rsid w:val="00CB0664"/>
    <w:rsid w:val="00FA6C4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D3E007C"/>
  <w14:defaultImageDpi w14:val="300"/>
  <w15:docId w15:val="{3167BD5E-1523-5847-A9CB-4BC6E1A08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20"/>
      <w:jc w:val="both"/>
    </w:pPr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1F4E79"/>
      <w:sz w:val="27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60"/>
      <w:outlineLvl w:val="1"/>
    </w:pPr>
    <w:rPr>
      <w:rFonts w:asciiTheme="majorHAnsi" w:eastAsiaTheme="majorEastAsia" w:hAnsiTheme="majorHAnsi" w:cstheme="majorBidi"/>
      <w:b/>
      <w:bCs/>
      <w:color w:val="373737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ustomTitle">
    <w:name w:val="CustomTitle"/>
    <w:basedOn w:val="Normal"/>
    <w:pPr>
      <w:spacing w:after="60" w:line="240" w:lineRule="auto"/>
      <w:jc w:val="center"/>
    </w:pPr>
    <w:rPr>
      <w:b/>
      <w:sz w:val="30"/>
    </w:rPr>
  </w:style>
  <w:style w:type="paragraph" w:customStyle="1" w:styleId="CustomSubtitle">
    <w:name w:val="CustomSubtitle"/>
    <w:basedOn w:val="Normal"/>
    <w:pPr>
      <w:spacing w:after="40" w:line="240" w:lineRule="auto"/>
      <w:jc w:val="center"/>
    </w:pPr>
  </w:style>
  <w:style w:type="paragraph" w:customStyle="1" w:styleId="MetaStyle">
    <w:name w:val="MetaStyle"/>
    <w:basedOn w:val="Normal"/>
    <w:pPr>
      <w:spacing w:after="200"/>
      <w:jc w:val="center"/>
    </w:pPr>
    <w:rPr>
      <w:i/>
      <w:color w:val="646464"/>
      <w:sz w:val="21"/>
    </w:rPr>
  </w:style>
  <w:style w:type="paragraph" w:styleId="NormalWeb">
    <w:name w:val="Normal (Web)"/>
    <w:basedOn w:val="Normal"/>
    <w:uiPriority w:val="99"/>
    <w:semiHidden/>
    <w:unhideWhenUsed/>
    <w:rsid w:val="008875CF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3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2407</Words>
  <Characters>13726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r.tolegenova@danaschool.kz</cp:lastModifiedBy>
  <cp:revision>6</cp:revision>
  <dcterms:created xsi:type="dcterms:W3CDTF">2026-03-31T09:50:00Z</dcterms:created>
  <dcterms:modified xsi:type="dcterms:W3CDTF">2026-03-31T10:55:00Z</dcterms:modified>
  <cp:category/>
</cp:coreProperties>
</file>